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jc w:val="left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/>
    </w:p>
    <w:p>
      <w:pPr>
        <w:jc w:val="center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Муниципальная программа</w:t>
      </w:r>
      <w:r/>
    </w:p>
    <w:p>
      <w:pPr>
        <w:pStyle w:val="699"/>
        <w:ind w:left="142" w:right="111"/>
        <w:jc w:val="center"/>
        <w:spacing w:line="276" w:lineRule="auto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Управление земельными ресурсами и регулирование земельных отношений в муниципальном образовании «Копейский городской округ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/>
    </w:p>
    <w:p>
      <w:pPr>
        <w:jc w:val="both"/>
        <w:spacing w:line="276" w:lineRule="auto"/>
        <w:rPr>
          <w:rFonts w:eastAsiaTheme="minorHAnsi"/>
          <w:sz w:val="26"/>
          <w:szCs w:val="26"/>
          <w:lang w:eastAsia="en-US"/>
        </w:rPr>
        <w:outlineLvl w:val="0"/>
      </w:pPr>
      <w:r>
        <w:rPr>
          <w:rFonts w:eastAsiaTheme="minorHAnsi"/>
          <w:sz w:val="26"/>
          <w:szCs w:val="26"/>
          <w:lang w:eastAsia="en-US"/>
        </w:rPr>
      </w:r>
      <w:r/>
    </w:p>
    <w:p>
      <w:pPr>
        <w:jc w:val="both"/>
        <w:spacing w:line="276" w:lineRule="auto"/>
        <w:rPr>
          <w:rFonts w:eastAsiaTheme="minorHAnsi"/>
          <w:sz w:val="26"/>
          <w:szCs w:val="26"/>
          <w:lang w:eastAsia="en-US"/>
        </w:rPr>
        <w:outlineLvl w:val="0"/>
      </w:pPr>
      <w:r>
        <w:rPr>
          <w:rFonts w:eastAsiaTheme="minorHAnsi"/>
          <w:sz w:val="26"/>
          <w:szCs w:val="26"/>
          <w:lang w:eastAsia="en-US"/>
        </w:rPr>
      </w:r>
      <w:r/>
    </w:p>
    <w:p>
      <w:pPr>
        <w:pStyle w:val="683"/>
        <w:numPr>
          <w:ilvl w:val="0"/>
          <w:numId w:val="6"/>
        </w:numPr>
        <w:ind w:left="0" w:firstLine="0"/>
        <w:jc w:val="center"/>
        <w:spacing w:line="276" w:lineRule="auto"/>
        <w:tabs>
          <w:tab w:val="left" w:pos="284" w:leader="none"/>
          <w:tab w:val="left" w:pos="426" w:leader="none"/>
        </w:tabs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Оценка текущего состояния</w:t>
      </w:r>
      <w:r/>
    </w:p>
    <w:p>
      <w:pPr>
        <w:pStyle w:val="683"/>
        <w:ind w:left="0"/>
        <w:jc w:val="center"/>
        <w:spacing w:line="276" w:lineRule="auto"/>
        <w:tabs>
          <w:tab w:val="left" w:pos="284" w:leader="none"/>
          <w:tab w:val="left" w:pos="426" w:leader="none"/>
        </w:tabs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сферах 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 xml:space="preserve">управления</w:t>
      </w:r>
      <w:r>
        <w:rPr>
          <w:sz w:val="26"/>
          <w:szCs w:val="26"/>
        </w:rPr>
        <w:t xml:space="preserve"> земе</w:t>
      </w:r>
      <w:r>
        <w:rPr>
          <w:sz w:val="26"/>
          <w:szCs w:val="26"/>
        </w:rPr>
        <w:t xml:space="preserve">льными ресурсами и регулирования</w:t>
      </w:r>
      <w:r>
        <w:rPr>
          <w:sz w:val="26"/>
          <w:szCs w:val="26"/>
        </w:rPr>
        <w:t xml:space="preserve"> земельных отношений в муниципальном образовании «Копейский городской округ</w:t>
      </w:r>
      <w:r>
        <w:rPr>
          <w:sz w:val="26"/>
          <w:szCs w:val="26"/>
        </w:rPr>
        <w:t xml:space="preserve">»</w:t>
      </w:r>
      <w:r/>
    </w:p>
    <w:p>
      <w:pPr>
        <w:pStyle w:val="683"/>
        <w:ind w:left="1260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 xml:space="preserve">Местное самоуправл</w:t>
      </w:r>
      <w:r>
        <w:rPr>
          <w:sz w:val="26"/>
          <w:szCs w:val="26"/>
        </w:rPr>
        <w:t xml:space="preserve">ение ставит главной целью повышение качества жизни людей на территории муниципального образования и играет существенную роль в повышении уровня материального благосостояния людей и развития социально-экономической инфраструктуры муниципального образования.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Экономическую основу местного самоуправления составляют правоотношения, с</w:t>
      </w:r>
      <w:r>
        <w:rPr>
          <w:sz w:val="26"/>
          <w:szCs w:val="26"/>
        </w:rPr>
        <w:t xml:space="preserve">вязанные с муниципальной собственностью. При этом процесс разграничения прав на имущество между различными уровнями публичной власти, в том числе муниципальной, не может считаться полноценным, если он не касается земли как важнейшего объекта собственности.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Земля – один из важнейших ресур</w:t>
      </w:r>
      <w:r>
        <w:rPr>
          <w:sz w:val="26"/>
          <w:szCs w:val="26"/>
        </w:rPr>
        <w:t xml:space="preserve">сов муниципального образования и требует эффективного распоряжения и управления. Именно эффективное управление данным имущественным ресурсом в наибольшей степени определяет инвестиционную привлекательность округа и является значительным потенциалом в попол</w:t>
      </w:r>
      <w:r>
        <w:rPr>
          <w:sz w:val="26"/>
          <w:szCs w:val="26"/>
        </w:rPr>
        <w:t xml:space="preserve">нении доходов местного бюджета.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 земельными ресурсами является важным направлением в экономике и представляет собой самостоятельную отрасль в области земельно-имущественных отношений.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 земельными ресурсами – это целенаправленное воздействие на объект управления – земельный участок в целях его рационального использования в соответствии с действующим законодательством. </w:t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Одним из основных показателей социально-экономического развития является пополнение доходной части бюджета округа от аренды и продажи земельных участков. Это важная часть неналоговых доходов городского бюджета.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решения этих вопросов требуется проведение землеустроительных и оценочных работ, с целью недопущения нарушения прав и законных интересов граждан, соблюдения законности в использовании и предоставлении земельных участков на территории округа.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Кроме того, в настоящее время в Едином государственном реестре недвижимости учитывается значительная часть ранее учтенных объектов недвижимости без описания г</w:t>
      </w:r>
      <w:r>
        <w:rPr>
          <w:sz w:val="26"/>
          <w:szCs w:val="26"/>
        </w:rPr>
        <w:t xml:space="preserve">раниц объектов в соответствии с требованиями действующего законодательства. Основной путь решения данной проблемы – проведение комплексных кадастровых работ на территории округа. В результате выполнения данных работ в границах определенного кадастрового кв</w:t>
      </w:r>
      <w:r>
        <w:rPr>
          <w:sz w:val="26"/>
          <w:szCs w:val="26"/>
        </w:rPr>
        <w:t xml:space="preserve">артала будут актуализированы данные обо всех объектах недвижимости (земельных участках, объектах капитального строительства, сооружениях, объектах незавершенного строительства, территориях общего пользования), что повлечет увеличение налогооблагаемой базы.</w:t>
      </w:r>
      <w:r/>
    </w:p>
    <w:p>
      <w:pPr>
        <w:pStyle w:val="702"/>
        <w:ind w:firstLine="480"/>
        <w:spacing w:before="0" w:beforeAutospacing="0" w:after="0" w:afterAutospacing="0" w:line="276" w:lineRule="auto"/>
        <w:shd w:val="clear" w:color="auto" w:fill="ffffff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</w:r>
      <w:r>
        <w:rPr>
          <w:color w:val="444444"/>
          <w:sz w:val="26"/>
          <w:szCs w:val="26"/>
        </w:rPr>
      </w:r>
    </w:p>
    <w:p>
      <w:pPr>
        <w:pStyle w:val="702"/>
        <w:ind w:firstLine="480"/>
        <w:spacing w:before="0" w:beforeAutospacing="0" w:after="0" w:afterAutospacing="0" w:line="276" w:lineRule="auto"/>
        <w:shd w:val="clear" w:color="auto" w:fill="ffffff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</w:r>
      <w:r/>
    </w:p>
    <w:p>
      <w:pPr>
        <w:pStyle w:val="683"/>
        <w:numPr>
          <w:ilvl w:val="0"/>
          <w:numId w:val="6"/>
        </w:numPr>
        <w:ind w:left="0" w:firstLine="0"/>
        <w:jc w:val="center"/>
        <w:spacing w:line="276" w:lineRule="auto"/>
        <w:tabs>
          <w:tab w:val="left" w:pos="426" w:leader="none"/>
        </w:tabs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Описание приоритетов и целей муниципальной политики</w:t>
      </w:r>
      <w:r/>
    </w:p>
    <w:p>
      <w:pPr>
        <w:pStyle w:val="683"/>
        <w:ind w:left="0"/>
        <w:jc w:val="center"/>
        <w:spacing w:line="276" w:lineRule="auto"/>
        <w:tabs>
          <w:tab w:val="left" w:pos="426" w:leader="none"/>
        </w:tabs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</w:t>
      </w:r>
      <w:r>
        <w:rPr>
          <w:rFonts w:eastAsiaTheme="minorHAnsi"/>
          <w:sz w:val="26"/>
          <w:szCs w:val="26"/>
          <w:lang w:eastAsia="en-US"/>
        </w:rPr>
        <w:t xml:space="preserve">сфере реализации муниципальной программы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на период до 2035 года</w:t>
      </w:r>
      <w:r/>
    </w:p>
    <w:p>
      <w:pPr>
        <w:pStyle w:val="683"/>
        <w:ind w:left="1260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/>
    </w:p>
    <w:p>
      <w:pPr>
        <w:ind w:firstLine="709"/>
        <w:jc w:val="both"/>
        <w:spacing w:line="276" w:lineRule="auto"/>
        <w:tabs>
          <w:tab w:val="left" w:pos="993" w:leader="none"/>
          <w:tab w:val="left" w:pos="1134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Приоритеты и цели муниципальной политики в сферах </w:t>
      </w:r>
      <w:r>
        <w:rPr>
          <w:sz w:val="26"/>
          <w:szCs w:val="26"/>
        </w:rPr>
        <w:t xml:space="preserve">управления</w:t>
      </w:r>
      <w:r>
        <w:rPr>
          <w:sz w:val="26"/>
          <w:szCs w:val="26"/>
        </w:rPr>
        <w:t xml:space="preserve"> земе</w:t>
      </w:r>
      <w:r>
        <w:rPr>
          <w:sz w:val="26"/>
          <w:szCs w:val="26"/>
        </w:rPr>
        <w:t xml:space="preserve">льными ресурсами, находящимися в распоряжении муниципального образования</w:t>
      </w:r>
      <w:r>
        <w:rPr>
          <w:sz w:val="26"/>
          <w:szCs w:val="26"/>
        </w:rPr>
        <w:t xml:space="preserve">, определены в соответствии с приоритетами и целями, отраженными в Стратегии социально-экономического развития </w:t>
      </w:r>
      <w:r>
        <w:rPr>
          <w:sz w:val="26"/>
          <w:szCs w:val="26"/>
        </w:rPr>
        <w:t xml:space="preserve">Копейского городского округа Челябинской области на период до 2035 года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 частности с направлением 3 «Градорегулирование, организация городского пространства», в соответствии с которым одной из основных задач является обеспечение эффективного использования территории городского округа.</w:t>
      </w:r>
      <w:r/>
    </w:p>
    <w:p>
      <w:pPr>
        <w:ind w:firstLine="709"/>
        <w:jc w:val="both"/>
        <w:spacing w:line="276" w:lineRule="auto"/>
        <w:tabs>
          <w:tab w:val="left" w:pos="993" w:leader="none"/>
          <w:tab w:val="left" w:pos="1134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Настоящая Программа разработана на основе Стратегии социально-экономического развития </w:t>
      </w:r>
      <w:r>
        <w:rPr>
          <w:sz w:val="26"/>
          <w:szCs w:val="26"/>
        </w:rPr>
        <w:t xml:space="preserve">Челябинской области</w:t>
      </w:r>
      <w:r>
        <w:rPr>
          <w:sz w:val="26"/>
          <w:szCs w:val="26"/>
        </w:rPr>
        <w:t xml:space="preserve"> на перспективу до 2035 года и вызвана необходимостью с</w:t>
      </w:r>
      <w:r>
        <w:rPr>
          <w:rFonts w:eastAsia="Calibri"/>
          <w:sz w:val="26"/>
          <w:szCs w:val="26"/>
        </w:rPr>
        <w:t xml:space="preserve">оздания условий для более эффективного управления, владения, пользования и распоряжения </w:t>
      </w:r>
      <w:r>
        <w:rPr>
          <w:rFonts w:eastAsia="Calibri"/>
          <w:sz w:val="26"/>
          <w:szCs w:val="26"/>
        </w:rPr>
        <w:t xml:space="preserve">земельными ресурсами</w:t>
      </w:r>
      <w:r>
        <w:rPr>
          <w:rFonts w:eastAsia="Calibri"/>
          <w:sz w:val="26"/>
          <w:szCs w:val="26"/>
        </w:rPr>
        <w:t xml:space="preserve">, а также с</w:t>
      </w:r>
      <w:r>
        <w:rPr>
          <w:sz w:val="26"/>
          <w:szCs w:val="26"/>
        </w:rPr>
        <w:t xml:space="preserve">овершенствования инструментов управления </w:t>
      </w:r>
      <w:r>
        <w:rPr>
          <w:sz w:val="26"/>
          <w:szCs w:val="26"/>
        </w:rPr>
        <w:t xml:space="preserve">земельными ресурсами городского округа</w:t>
      </w:r>
      <w:r>
        <w:rPr>
          <w:sz w:val="26"/>
          <w:szCs w:val="26"/>
        </w:rPr>
        <w:t xml:space="preserve">. </w:t>
      </w:r>
      <w:r/>
    </w:p>
    <w:p>
      <w:pPr>
        <w:pStyle w:val="683"/>
        <w:contextualSpacing w:val="0"/>
        <w:ind w:left="0" w:firstLine="709"/>
        <w:jc w:val="both"/>
        <w:spacing w:line="276" w:lineRule="auto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Для этого необходимо:</w:t>
      </w:r>
      <w:r/>
    </w:p>
    <w:p>
      <w:pPr>
        <w:ind w:firstLine="709"/>
        <w:jc w:val="both"/>
        <w:tabs>
          <w:tab w:val="left" w:pos="0" w:leader="none"/>
        </w:tabs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>
        <w:rPr>
          <w:sz w:val="26"/>
          <w:szCs w:val="26"/>
        </w:rPr>
        <w:t xml:space="preserve">1) проведение межевания и кадастровых работ в отношении земельных участков, расположенных на территории округа, для целей регистрации права муниципальной собственности на данные земельные участки;</w:t>
      </w:r>
      <w:r/>
    </w:p>
    <w:p>
      <w:pPr>
        <w:ind w:firstLine="709"/>
        <w:jc w:val="both"/>
        <w:tabs>
          <w:tab w:val="left" w:pos="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2) проведение кадастровых и геодезических работ в отношении земельных участков, находящихся на землях, государственная собственность на которые не разграничена, для исполнения функций муниципального образования;</w:t>
      </w:r>
      <w:r/>
    </w:p>
    <w:p>
      <w:pPr>
        <w:ind w:firstLine="709"/>
        <w:jc w:val="both"/>
        <w:tabs>
          <w:tab w:val="left" w:pos="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3) проведение экспертизы и оценочных работ в отношении земельных участков, расположенных на них объектов движимого и недвижимого имущества, а также проведение оценки стоимости права на заключение договора о комплексном развитии территории; </w:t>
      </w:r>
      <w:r/>
    </w:p>
    <w:p>
      <w:pPr>
        <w:ind w:firstLine="709"/>
        <w:jc w:val="both"/>
        <w:tabs>
          <w:tab w:val="left" w:pos="0" w:leader="none"/>
        </w:tabs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4) проведение кадастровых и геодезических работ в отношении земельных участков, находящихся на землях, государственная собственность на которые не разграничена, для</w:t>
      </w:r>
      <w:r>
        <w:rPr>
          <w:color w:val="000000"/>
          <w:sz w:val="26"/>
          <w:szCs w:val="26"/>
        </w:rPr>
        <w:t xml:space="preserve"> бесплатного предоставления в собственность гражданам для индивидуального жилищного строительства;</w:t>
      </w:r>
      <w:r/>
    </w:p>
    <w:p>
      <w:pPr>
        <w:ind w:firstLine="709"/>
        <w:jc w:val="both"/>
        <w:tabs>
          <w:tab w:val="left" w:pos="0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5) </w:t>
      </w:r>
      <w:r>
        <w:rPr>
          <w:sz w:val="26"/>
          <w:szCs w:val="26"/>
        </w:rPr>
        <w:t xml:space="preserve">проведение мероприятий по выкупу земельных участков сельскохозяйственного назначения и изъятию земельных участков для муниципальных нужд;</w:t>
      </w:r>
      <w:r/>
    </w:p>
    <w:p>
      <w:pPr>
        <w:ind w:firstLine="709"/>
        <w:jc w:val="both"/>
        <w:tabs>
          <w:tab w:val="left" w:pos="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6) разработка проектов межевания застроенной территории;</w:t>
      </w:r>
      <w:r/>
    </w:p>
    <w:p>
      <w:pPr>
        <w:ind w:firstLine="709"/>
        <w:jc w:val="both"/>
        <w:tabs>
          <w:tab w:val="left" w:pos="0" w:leader="none"/>
        </w:tabs>
        <w:rPr>
          <w:rStyle w:val="696"/>
          <w:sz w:val="26"/>
          <w:szCs w:val="26"/>
        </w:rPr>
      </w:pPr>
      <w:r>
        <w:rPr>
          <w:sz w:val="26"/>
          <w:szCs w:val="26"/>
        </w:rPr>
        <w:t xml:space="preserve">7) проведение комплексных кадастровых работ в отношении земельных участков, зданий, сооружений, объектов незавершенного строительства, мест общего пользования, расположенных на территории кадастрового квартала.</w:t>
      </w:r>
      <w:r/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/>
    </w:p>
    <w:p>
      <w:pPr>
        <w:pStyle w:val="683"/>
        <w:numPr>
          <w:ilvl w:val="0"/>
          <w:numId w:val="6"/>
        </w:numPr>
        <w:ind w:left="0" w:firstLine="0"/>
        <w:jc w:val="center"/>
        <w:spacing w:line="276" w:lineRule="auto"/>
        <w:tabs>
          <w:tab w:val="left" w:pos="426" w:leader="none"/>
        </w:tabs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Сведения о взаимоувязке со стратегическими приоритетами, целями и показателями государственных программ</w:t>
      </w:r>
      <w:r/>
    </w:p>
    <w:p>
      <w:pPr>
        <w:pStyle w:val="683"/>
        <w:ind w:left="0"/>
        <w:jc w:val="both"/>
        <w:spacing w:line="276" w:lineRule="auto"/>
        <w:tabs>
          <w:tab w:val="left" w:pos="426" w:leader="none"/>
        </w:tabs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/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Мероприятия программы не реализуются в рамках государственных программ.</w:t>
      </w:r>
      <w:r/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Программные мероприятия включают реализацию государственной политики в области </w:t>
      </w:r>
      <w:r>
        <w:rPr>
          <w:rFonts w:eastAsiaTheme="minorHAnsi"/>
          <w:sz w:val="26"/>
          <w:szCs w:val="26"/>
          <w:lang w:eastAsia="en-US"/>
        </w:rPr>
        <w:t xml:space="preserve">оформления прав на земельные участки гражданами и юридическими лицами </w:t>
      </w:r>
      <w:r>
        <w:rPr>
          <w:rFonts w:eastAsiaTheme="minorHAnsi"/>
          <w:sz w:val="26"/>
          <w:szCs w:val="26"/>
          <w:lang w:eastAsia="en-US"/>
        </w:rPr>
        <w:t xml:space="preserve">и организацию учета муниципального имущества, составляющего муниципальную казну </w:t>
      </w:r>
      <w:r>
        <w:rPr>
          <w:rFonts w:eastAsiaTheme="minorHAnsi"/>
          <w:sz w:val="26"/>
          <w:szCs w:val="26"/>
          <w:lang w:eastAsia="en-US"/>
        </w:rPr>
        <w:t xml:space="preserve">Копейского городского округа</w:t>
      </w:r>
      <w:r>
        <w:rPr>
          <w:rFonts w:eastAsiaTheme="minorHAnsi"/>
          <w:sz w:val="26"/>
          <w:szCs w:val="26"/>
          <w:lang w:eastAsia="en-US"/>
        </w:rPr>
        <w:t xml:space="preserve">, в том числе:</w:t>
      </w:r>
      <w:r/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1) проведение инвентаризации земельных участков. Регистрация права муниципальной собственности</w:t>
      </w:r>
      <w:r>
        <w:rPr>
          <w:rFonts w:eastAsiaTheme="minorHAnsi"/>
          <w:sz w:val="26"/>
          <w:szCs w:val="26"/>
          <w:lang w:eastAsia="en-US"/>
        </w:rPr>
        <w:t xml:space="preserve"> на земельные участки</w:t>
      </w:r>
      <w:r>
        <w:rPr>
          <w:rFonts w:eastAsiaTheme="minorHAnsi"/>
          <w:sz w:val="26"/>
          <w:szCs w:val="26"/>
          <w:lang w:eastAsia="en-US"/>
        </w:rPr>
        <w:t xml:space="preserve">. Подготовка документов для постановки на государственный учет бесхозяйных объектов;</w:t>
      </w:r>
      <w:r/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2) содержание</w:t>
      </w:r>
      <w:r>
        <w:rPr>
          <w:rFonts w:eastAsiaTheme="minorHAnsi"/>
          <w:sz w:val="26"/>
          <w:szCs w:val="26"/>
          <w:lang w:eastAsia="en-US"/>
        </w:rPr>
        <w:t xml:space="preserve"> и выявление правообладателей земельных участков;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/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3) </w:t>
      </w:r>
      <w:r>
        <w:rPr>
          <w:rFonts w:eastAsiaTheme="minorHAnsi"/>
          <w:sz w:val="26"/>
          <w:szCs w:val="26"/>
          <w:lang w:eastAsia="en-US"/>
        </w:rPr>
        <w:t xml:space="preserve">оформление прав на земельные участки</w:t>
      </w:r>
      <w:r>
        <w:rPr>
          <w:rFonts w:eastAsiaTheme="minorHAnsi"/>
          <w:sz w:val="26"/>
          <w:szCs w:val="26"/>
          <w:lang w:eastAsia="en-US"/>
        </w:rPr>
        <w:t xml:space="preserve"> для нужд </w:t>
      </w:r>
      <w:r>
        <w:rPr>
          <w:rFonts w:eastAsiaTheme="minorHAnsi"/>
          <w:sz w:val="26"/>
          <w:szCs w:val="26"/>
          <w:lang w:eastAsia="en-US"/>
        </w:rPr>
        <w:t xml:space="preserve">Копейского городского округа</w:t>
      </w:r>
      <w:r>
        <w:rPr>
          <w:rFonts w:eastAsiaTheme="minorHAnsi"/>
          <w:sz w:val="26"/>
          <w:szCs w:val="26"/>
          <w:lang w:eastAsia="en-US"/>
        </w:rPr>
        <w:t xml:space="preserve">. Организация учета и ведение реестра </w:t>
      </w:r>
      <w:r>
        <w:rPr>
          <w:rFonts w:eastAsiaTheme="minorHAnsi"/>
          <w:sz w:val="26"/>
          <w:szCs w:val="26"/>
          <w:lang w:eastAsia="en-US"/>
        </w:rPr>
        <w:t xml:space="preserve">земельных участков</w:t>
      </w:r>
      <w:r>
        <w:rPr>
          <w:rFonts w:eastAsiaTheme="minorHAnsi"/>
          <w:sz w:val="26"/>
          <w:szCs w:val="26"/>
          <w:lang w:eastAsia="en-US"/>
        </w:rPr>
        <w:t xml:space="preserve">, составляющего муниципальную казну </w:t>
      </w:r>
      <w:r>
        <w:rPr>
          <w:rFonts w:eastAsiaTheme="minorHAnsi"/>
          <w:sz w:val="26"/>
          <w:szCs w:val="26"/>
          <w:lang w:eastAsia="en-US"/>
        </w:rPr>
        <w:t xml:space="preserve">муниципального образования</w:t>
      </w:r>
      <w:r>
        <w:rPr>
          <w:rFonts w:eastAsiaTheme="minorHAnsi"/>
          <w:sz w:val="26"/>
          <w:szCs w:val="26"/>
          <w:lang w:eastAsia="en-US"/>
        </w:rPr>
        <w:t xml:space="preserve">.</w:t>
      </w:r>
      <w:r/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/>
    </w:p>
    <w:p>
      <w:pPr>
        <w:pStyle w:val="683"/>
        <w:numPr>
          <w:ilvl w:val="0"/>
          <w:numId w:val="6"/>
        </w:numPr>
        <w:ind w:left="0" w:firstLine="0"/>
        <w:jc w:val="center"/>
        <w:spacing w:line="276" w:lineRule="auto"/>
        <w:tabs>
          <w:tab w:val="left" w:pos="426" w:leader="none"/>
        </w:tabs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Задачи муниципального управления, способы их эффективного решения</w:t>
      </w:r>
      <w:r/>
    </w:p>
    <w:p>
      <w:pPr>
        <w:pStyle w:val="683"/>
        <w:ind w:left="0"/>
        <w:jc w:val="center"/>
        <w:spacing w:line="276" w:lineRule="auto"/>
        <w:tabs>
          <w:tab w:val="left" w:pos="284" w:leader="none"/>
          <w:tab w:val="left" w:pos="426" w:leader="none"/>
        </w:tabs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сферах 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 xml:space="preserve">управления</w:t>
      </w:r>
      <w:r>
        <w:rPr>
          <w:sz w:val="26"/>
          <w:szCs w:val="26"/>
        </w:rPr>
        <w:t xml:space="preserve"> земе</w:t>
      </w:r>
      <w:r>
        <w:rPr>
          <w:sz w:val="26"/>
          <w:szCs w:val="26"/>
        </w:rPr>
        <w:t xml:space="preserve">льными ресурсами и регулирования</w:t>
      </w:r>
      <w:r>
        <w:rPr>
          <w:sz w:val="26"/>
          <w:szCs w:val="26"/>
        </w:rPr>
        <w:t xml:space="preserve"> земельных отношений в муниципальном образовании «Копейский городской округ</w:t>
      </w:r>
      <w:r>
        <w:rPr>
          <w:sz w:val="26"/>
          <w:szCs w:val="26"/>
        </w:rPr>
        <w:t xml:space="preserve">»</w:t>
      </w:r>
      <w:r/>
    </w:p>
    <w:p>
      <w:pPr>
        <w:pStyle w:val="683"/>
        <w:ind w:left="0"/>
        <w:jc w:val="center"/>
        <w:spacing w:line="276" w:lineRule="auto"/>
        <w:tabs>
          <w:tab w:val="left" w:pos="426" w:leader="none"/>
        </w:tabs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/>
    </w:p>
    <w:p>
      <w:pPr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/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Основной целью программы яв</w:t>
      </w:r>
      <w:r>
        <w:rPr>
          <w:rFonts w:eastAsiaTheme="minorHAnsi"/>
          <w:sz w:val="26"/>
          <w:szCs w:val="26"/>
          <w:lang w:eastAsia="en-US"/>
        </w:rPr>
        <w:t xml:space="preserve">ляется осуществление</w:t>
      </w:r>
      <w:r>
        <w:rPr>
          <w:rFonts w:eastAsiaTheme="minorHAnsi"/>
          <w:sz w:val="26"/>
          <w:szCs w:val="26"/>
          <w:lang w:eastAsia="en-US"/>
        </w:rPr>
        <w:t xml:space="preserve"> функций по управлению, владению, пользованию и распоряжению земельными участками.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целями муниципальной программы являются: 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развитие социально-экономической инфраструктуры округа, повышение эффективности и использования земель округа, развитие округа в результате улучшения инвестиционной привлекательности территории;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2) </w:t>
      </w:r>
      <w:r>
        <w:rPr>
          <w:sz w:val="26"/>
          <w:szCs w:val="26"/>
        </w:rPr>
        <w:t xml:space="preserve">актуализация сведений об объектах недвижимости в Едином государственном реестре недвижимости, увеличение количества объектов налогообложения, повышение налоговых поступлений в бюджет.</w:t>
      </w:r>
      <w:r/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Достижение целей программы реализуется за счет выполнения задач:</w:t>
      </w:r>
      <w:r/>
    </w:p>
    <w:p>
      <w:pPr>
        <w:ind w:firstLine="709"/>
        <w:jc w:val="both"/>
        <w:tabs>
          <w:tab w:val="left" w:pos="0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1) межевание и проведение кадастровых работ в отношении земельных участков, расположенных на территории округа, в целях исполнения функций муниципального образования «Копейский городской округ» ;</w:t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2) проведение экспертизы и оценочных работ в отношении земельных участков, расположенных на них объектов движимого и недвижимого имущества, а также  проведение оценки стоимости права на заключение договора о комплексном развитии территории; </w:t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sz w:val="26"/>
          <w:szCs w:val="26"/>
          <w:highlight w:val="white"/>
        </w:rPr>
      </w:pPr>
      <w:r>
        <w:rPr>
          <w:color w:val="000000"/>
          <w:sz w:val="26"/>
          <w:szCs w:val="26"/>
          <w:highlight w:val="white"/>
        </w:rPr>
        <w:t xml:space="preserve">3</w:t>
      </w:r>
      <w:r>
        <w:rPr>
          <w:color w:val="000000"/>
          <w:sz w:val="26"/>
          <w:szCs w:val="26"/>
          <w:highlight w:val="white"/>
        </w:rPr>
        <w:t xml:space="preserve">) </w:t>
      </w:r>
      <w:r>
        <w:rPr>
          <w:sz w:val="26"/>
          <w:szCs w:val="26"/>
          <w:highlight w:val="white"/>
        </w:rPr>
        <w:t xml:space="preserve">проведение мероприятий по выкупу земельных участков сельскохозяйственного назначения и изъятию земельных участков для муниципальных нужд;</w:t>
      </w:r>
      <w:r>
        <w:rPr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spacing w:line="276" w:lineRule="auto"/>
        <w:rPr>
          <w:rFonts w:eastAsiaTheme="minorHAnsi"/>
          <w:highlight w:val="white"/>
        </w:rPr>
      </w:pPr>
      <w:r>
        <w:rPr>
          <w:sz w:val="26"/>
          <w:szCs w:val="26"/>
          <w:highlight w:val="white"/>
        </w:rPr>
        <w:t xml:space="preserve">4</w:t>
      </w:r>
      <w:r>
        <w:rPr>
          <w:sz w:val="26"/>
          <w:szCs w:val="26"/>
          <w:highlight w:val="white"/>
        </w:rPr>
        <w:t xml:space="preserve">) изготовление и установка баннеров, плакатов, табличек для муниципальных нужд;</w:t>
      </w:r>
      <w:r>
        <w:rPr>
          <w:highlight w:val="white"/>
        </w:rPr>
      </w:r>
      <w:r>
        <w:rPr>
          <w:rFonts w:eastAsiaTheme="minorHAnsi"/>
          <w:sz w:val="26"/>
          <w:szCs w:val="26"/>
          <w:highlight w:val="white"/>
        </w:rPr>
      </w:r>
    </w:p>
    <w:p>
      <w:pPr>
        <w:ind w:firstLine="709"/>
        <w:jc w:val="both"/>
        <w:spacing w:line="276" w:lineRule="auto"/>
        <w:rPr>
          <w:rFonts w:eastAsiaTheme="minorHAnsi"/>
          <w:sz w:val="26"/>
          <w:szCs w:val="26"/>
          <w:highlight w:val="white"/>
        </w:rPr>
      </w:pPr>
      <w:r>
        <w:rPr>
          <w:highlight w:val="white"/>
        </w:rPr>
      </w:r>
      <w:r>
        <w:rPr>
          <w:sz w:val="26"/>
          <w:szCs w:val="26"/>
          <w:highlight w:val="white"/>
        </w:rPr>
        <w:t xml:space="preserve">5)</w:t>
      </w:r>
      <w:bookmarkStart w:id="0" w:name="_GoBack"/>
      <w:r>
        <w:rPr>
          <w:highlight w:val="white"/>
        </w:rPr>
      </w:r>
      <w:bookmarkEnd w:id="0"/>
      <w:r>
        <w:rPr>
          <w:sz w:val="26"/>
          <w:szCs w:val="26"/>
          <w:highlight w:val="white"/>
        </w:rPr>
        <w:t xml:space="preserve"> проведение комплексных кадастровых работ в отношении земельных участков, зданий, сооружений, объектов незавершенного строительства, мест общего пользования, расположенных на территории кадастрового квартала.</w:t>
      </w:r>
      <w:r>
        <w:rPr>
          <w:rFonts w:eastAsiaTheme="minorHAnsi"/>
          <w:sz w:val="26"/>
          <w:szCs w:val="26"/>
          <w:highlight w:val="white"/>
        </w:rPr>
      </w:r>
      <w:r>
        <w:rPr>
          <w:highlight w:val="white"/>
        </w:rPr>
      </w:r>
      <w:r>
        <w:rPr>
          <w:rFonts w:eastAsiaTheme="minorHAnsi"/>
          <w:sz w:val="26"/>
          <w:szCs w:val="26"/>
          <w:lang w:eastAsia="en-US"/>
        </w:rPr>
      </w:r>
      <w:r/>
      <w:r>
        <w:rPr>
          <w:rFonts w:eastAsiaTheme="minorHAnsi"/>
          <w:sz w:val="26"/>
          <w:szCs w:val="26"/>
          <w:highlight w:val="white"/>
        </w:rPr>
      </w:r>
    </w:p>
    <w:sectPr>
      <w:headerReference w:type="default" r:id="rId9"/>
      <w:footnotePr/>
      <w:endnotePr/>
      <w:type w:val="nextPage"/>
      <w:pgSz w:w="11906" w:h="16838" w:orient="portrait"/>
      <w:pgMar w:top="567" w:right="567" w:bottom="567" w:left="1701" w:header="709" w:footer="54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43239110"/>
      <w:docPartObj>
        <w:docPartGallery w:val="Page Numbers (Top of Page)"/>
        <w:docPartUnique w:val="true"/>
      </w:docPartObj>
      <w:rPr/>
    </w:sdtPr>
    <w:sdtContent>
      <w:p>
        <w:pPr>
          <w:pStyle w:val="68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68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4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8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8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4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3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72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isLgl w:val="false"/>
      <w:suff w:val="tab"/>
      <w:lvlText w:val="%1.%2."/>
      <w:lvlJc w:val="left"/>
      <w:pPr>
        <w:ind w:left="390" w:hanging="390"/>
      </w:pPr>
      <w:rPr>
        <w:rFonts w:hint="default"/>
        <w:sz w:val="26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954" w:hanging="1245"/>
      </w:pPr>
      <w:rPr>
        <w:rFonts w:hint="default" w:eastAsia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Courier New" w:hAnsi="Courier New" w:cs="Courier New"/>
        <w:sz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78"/>
    <w:link w:val="677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6"/>
    <w:next w:val="67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6"/>
    <w:next w:val="67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6"/>
    <w:next w:val="67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6"/>
    <w:next w:val="67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6"/>
    <w:next w:val="67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6"/>
    <w:next w:val="67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6"/>
    <w:next w:val="67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6"/>
    <w:next w:val="67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76"/>
    <w:next w:val="67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8"/>
    <w:link w:val="34"/>
    <w:uiPriority w:val="10"/>
    <w:rPr>
      <w:sz w:val="48"/>
      <w:szCs w:val="48"/>
    </w:rPr>
  </w:style>
  <w:style w:type="paragraph" w:styleId="36">
    <w:name w:val="Subtitle"/>
    <w:basedOn w:val="676"/>
    <w:next w:val="67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8"/>
    <w:link w:val="36"/>
    <w:uiPriority w:val="11"/>
    <w:rPr>
      <w:sz w:val="24"/>
      <w:szCs w:val="24"/>
    </w:rPr>
  </w:style>
  <w:style w:type="paragraph" w:styleId="38">
    <w:name w:val="Quote"/>
    <w:basedOn w:val="676"/>
    <w:next w:val="67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6"/>
    <w:next w:val="67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8"/>
    <w:link w:val="688"/>
    <w:uiPriority w:val="99"/>
  </w:style>
  <w:style w:type="character" w:styleId="45">
    <w:name w:val="Footer Char"/>
    <w:basedOn w:val="678"/>
    <w:link w:val="690"/>
    <w:uiPriority w:val="99"/>
  </w:style>
  <w:style w:type="paragraph" w:styleId="46">
    <w:name w:val="Caption"/>
    <w:basedOn w:val="676"/>
    <w:next w:val="6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90"/>
    <w:uiPriority w:val="99"/>
  </w:style>
  <w:style w:type="table" w:styleId="49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8"/>
    <w:uiPriority w:val="99"/>
    <w:unhideWhenUsed/>
    <w:rPr>
      <w:vertAlign w:val="superscript"/>
    </w:rPr>
  </w:style>
  <w:style w:type="character" w:styleId="179">
    <w:name w:val="Endnote Text Char"/>
    <w:link w:val="700"/>
    <w:uiPriority w:val="99"/>
    <w:rPr>
      <w:sz w:val="20"/>
    </w:rPr>
  </w:style>
  <w:style w:type="character" w:styleId="180">
    <w:name w:val="endnote reference"/>
    <w:basedOn w:val="678"/>
    <w:uiPriority w:val="99"/>
    <w:semiHidden/>
    <w:unhideWhenUsed/>
    <w:rPr>
      <w:vertAlign w:val="superscript"/>
    </w:rPr>
  </w:style>
  <w:style w:type="paragraph" w:styleId="181">
    <w:name w:val="toc 1"/>
    <w:basedOn w:val="676"/>
    <w:next w:val="67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6"/>
    <w:next w:val="67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6"/>
    <w:next w:val="67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6"/>
    <w:next w:val="67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6"/>
    <w:next w:val="67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6"/>
    <w:next w:val="67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6"/>
    <w:next w:val="67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6"/>
    <w:next w:val="67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6"/>
    <w:next w:val="67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7">
    <w:name w:val="Heading 1"/>
    <w:basedOn w:val="676"/>
    <w:next w:val="676"/>
    <w:link w:val="697"/>
    <w:uiPriority w:val="99"/>
    <w:qFormat/>
    <w:pPr>
      <w:jc w:val="center"/>
      <w:spacing w:before="108" w:after="108"/>
      <w:outlineLvl w:val="0"/>
    </w:pPr>
    <w:rPr>
      <w:rFonts w:ascii="Arial" w:hAnsi="Arial" w:cs="Arial" w:eastAsiaTheme="minorHAnsi"/>
      <w:b/>
      <w:bCs/>
      <w:color w:val="000080"/>
      <w:lang w:eastAsia="en-US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paragraph" w:styleId="681" w:customStyle="1">
    <w:name w:val="Нормальный (таблица)"/>
    <w:basedOn w:val="676"/>
    <w:next w:val="676"/>
    <w:uiPriority w:val="99"/>
    <w:pPr>
      <w:jc w:val="both"/>
      <w:widowControl w:val="off"/>
    </w:pPr>
    <w:rPr>
      <w:rFonts w:ascii="Arial" w:hAnsi="Arial" w:cs="Arial"/>
    </w:rPr>
  </w:style>
  <w:style w:type="table" w:styleId="682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83">
    <w:name w:val="List Paragraph"/>
    <w:basedOn w:val="676"/>
    <w:uiPriority w:val="34"/>
    <w:qFormat/>
    <w:pPr>
      <w:contextualSpacing/>
      <w:ind w:left="720"/>
    </w:pPr>
  </w:style>
  <w:style w:type="paragraph" w:styleId="684">
    <w:name w:val="Body Text"/>
    <w:basedOn w:val="676"/>
    <w:link w:val="685"/>
    <w:pPr>
      <w:jc w:val="both"/>
    </w:pPr>
    <w:rPr>
      <w:sz w:val="28"/>
      <w:szCs w:val="28"/>
      <w:lang w:eastAsia="ar-SA"/>
    </w:rPr>
  </w:style>
  <w:style w:type="character" w:styleId="685" w:customStyle="1">
    <w:name w:val="Основной текст Знак"/>
    <w:basedOn w:val="678"/>
    <w:link w:val="684"/>
    <w:rPr>
      <w:rFonts w:ascii="Times New Roman" w:hAnsi="Times New Roman" w:eastAsia="Times New Roman" w:cs="Times New Roman"/>
      <w:sz w:val="28"/>
      <w:szCs w:val="28"/>
      <w:lang w:eastAsia="ar-SA"/>
    </w:rPr>
  </w:style>
  <w:style w:type="paragraph" w:styleId="686" w:customStyle="1">
    <w:name w:val="Заголовок таблицы"/>
    <w:basedOn w:val="676"/>
    <w:pPr>
      <w:jc w:val="center"/>
      <w:widowControl w:val="off"/>
      <w:suppressLineNumbers/>
    </w:pPr>
    <w:rPr>
      <w:b/>
      <w:bCs/>
      <w:i/>
      <w:iCs/>
      <w:sz w:val="18"/>
      <w:szCs w:val="18"/>
      <w:lang w:eastAsia="ar-SA"/>
    </w:rPr>
  </w:style>
  <w:style w:type="paragraph" w:styleId="687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ar-SA"/>
    </w:rPr>
  </w:style>
  <w:style w:type="paragraph" w:styleId="688">
    <w:name w:val="Header"/>
    <w:basedOn w:val="676"/>
    <w:link w:val="68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Верхний колонтитул Знак"/>
    <w:basedOn w:val="678"/>
    <w:link w:val="68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90">
    <w:name w:val="Footer"/>
    <w:basedOn w:val="676"/>
    <w:link w:val="69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91" w:customStyle="1">
    <w:name w:val="Нижний колонтитул Знак"/>
    <w:basedOn w:val="678"/>
    <w:link w:val="690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92">
    <w:name w:val="Body Text Indent"/>
    <w:basedOn w:val="676"/>
    <w:link w:val="693"/>
    <w:uiPriority w:val="99"/>
    <w:unhideWhenUsed/>
    <w:pPr>
      <w:ind w:left="283"/>
      <w:spacing w:after="120"/>
    </w:pPr>
  </w:style>
  <w:style w:type="character" w:styleId="693" w:customStyle="1">
    <w:name w:val="Основной текст с отступом Знак"/>
    <w:basedOn w:val="678"/>
    <w:link w:val="69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94">
    <w:name w:val="Normal (Web)"/>
    <w:basedOn w:val="676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styleId="695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696" w:customStyle="1">
    <w:name w:val="Font Style18"/>
    <w:basedOn w:val="678"/>
    <w:uiPriority w:val="99"/>
    <w:rPr>
      <w:rFonts w:ascii="Times New Roman" w:hAnsi="Times New Roman" w:cs="Times New Roman"/>
      <w:sz w:val="20"/>
      <w:szCs w:val="20"/>
    </w:rPr>
  </w:style>
  <w:style w:type="character" w:styleId="697" w:customStyle="1">
    <w:name w:val="Заголовок 1 Знак"/>
    <w:basedOn w:val="678"/>
    <w:link w:val="677"/>
    <w:uiPriority w:val="99"/>
    <w:rPr>
      <w:rFonts w:ascii="Arial" w:hAnsi="Arial" w:cs="Arial"/>
      <w:b/>
      <w:bCs/>
      <w:color w:val="000080"/>
      <w:sz w:val="24"/>
      <w:szCs w:val="24"/>
    </w:rPr>
  </w:style>
  <w:style w:type="paragraph" w:styleId="698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69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700">
    <w:name w:val="endnote text"/>
    <w:basedOn w:val="676"/>
    <w:link w:val="701"/>
    <w:uiPriority w:val="99"/>
    <w:rPr>
      <w:sz w:val="20"/>
      <w:szCs w:val="20"/>
    </w:rPr>
  </w:style>
  <w:style w:type="character" w:styleId="701" w:customStyle="1">
    <w:name w:val="Текст концевой сноски Знак"/>
    <w:basedOn w:val="678"/>
    <w:link w:val="70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02" w:customStyle="1">
    <w:name w:val="formattext"/>
    <w:basedOn w:val="676"/>
    <w:pPr>
      <w:spacing w:before="100" w:beforeAutospacing="1" w:after="100" w:after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A9BA5-0292-43CD-AD6F-0EC83F831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КУИиЗО г. Челябинска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242</cp:revision>
  <dcterms:created xsi:type="dcterms:W3CDTF">2019-12-30T06:59:00Z</dcterms:created>
  <dcterms:modified xsi:type="dcterms:W3CDTF">2024-09-26T04:56:57Z</dcterms:modified>
</cp:coreProperties>
</file>